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48" w:rsidRPr="00782048" w:rsidRDefault="00D4745C" w:rsidP="00782048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782048" w:rsidRPr="007820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782048" w:rsidRPr="0078204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82048" w:rsidRPr="00782048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82048" w:rsidRPr="00782048">
        <w:rPr>
          <w:rFonts w:ascii="Times New Roman" w:eastAsia="Times New Roman" w:hAnsi="Times New Roman" w:cs="Times New Roman"/>
          <w:sz w:val="24"/>
          <w:szCs w:val="24"/>
        </w:rPr>
        <w:tab/>
      </w:r>
      <w:r w:rsidR="00782048" w:rsidRPr="00782048">
        <w:rPr>
          <w:rFonts w:ascii="Times New Roman" w:eastAsia="Times New Roman" w:hAnsi="Times New Roman" w:cs="Times New Roman"/>
          <w:sz w:val="24"/>
          <w:szCs w:val="24"/>
        </w:rPr>
        <w:tab/>
      </w:r>
      <w:r w:rsidR="00782048" w:rsidRPr="00782048">
        <w:rPr>
          <w:rFonts w:ascii="Times New Roman" w:eastAsia="Times New Roman" w:hAnsi="Times New Roman" w:cs="Times New Roman"/>
          <w:sz w:val="24"/>
          <w:szCs w:val="24"/>
        </w:rPr>
        <w:tab/>
      </w:r>
      <w:r w:rsidR="00782048" w:rsidRPr="00782048">
        <w:rPr>
          <w:rFonts w:ascii="Times New Roman" w:eastAsia="Times New Roman" w:hAnsi="Times New Roman" w:cs="Times New Roman"/>
          <w:sz w:val="24"/>
          <w:szCs w:val="24"/>
        </w:rPr>
        <w:tab/>
      </w:r>
      <w:r w:rsidR="00782048" w:rsidRPr="007820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782048" w:rsidRPr="00782048" w:rsidRDefault="00D4745C" w:rsidP="00782048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782048" w:rsidRPr="007820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782048" w:rsidRPr="00782048" w:rsidRDefault="00D4745C" w:rsidP="00782048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782048" w:rsidRPr="007820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82048" w:rsidRPr="007820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ustavna</w:t>
      </w:r>
      <w:r w:rsidR="00782048" w:rsidRPr="007820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="00782048" w:rsidRPr="007820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782048" w:rsidRPr="00782048" w:rsidRDefault="00D4745C" w:rsidP="00782048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82048" w:rsidRPr="007820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zakonodavstvo</w:t>
      </w:r>
      <w:r w:rsidR="00782048" w:rsidRPr="007820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82048" w:rsidRPr="00782048" w:rsidRDefault="00782048" w:rsidP="00782048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RS"/>
        </w:rPr>
      </w:pPr>
      <w:r w:rsidRPr="00782048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78204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20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CS"/>
        </w:rPr>
        <w:t>roj</w:t>
      </w:r>
      <w:r w:rsidRPr="007820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011-1113/23</w:t>
      </w:r>
    </w:p>
    <w:p w:rsidR="00782048" w:rsidRPr="00782048" w:rsidRDefault="00F4509C" w:rsidP="00782048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="007820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oktobar</w:t>
      </w:r>
      <w:r w:rsidR="007820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82048" w:rsidRPr="00782048">
        <w:rPr>
          <w:rFonts w:ascii="Times New Roman" w:eastAsia="Times New Roman" w:hAnsi="Times New Roman" w:cs="Times New Roman"/>
          <w:sz w:val="24"/>
          <w:szCs w:val="24"/>
          <w:lang w:val="sr-Cyrl-RS"/>
        </w:rPr>
        <w:t>202</w:t>
      </w:r>
      <w:r w:rsidR="00782048" w:rsidRPr="00782048">
        <w:rPr>
          <w:rFonts w:ascii="Times New Roman" w:eastAsia="Times New Roman" w:hAnsi="Times New Roman" w:cs="Times New Roman"/>
          <w:sz w:val="24"/>
          <w:szCs w:val="24"/>
        </w:rPr>
        <w:t>3</w:t>
      </w:r>
      <w:r w:rsidR="00782048" w:rsidRPr="0078204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82048" w:rsidRPr="007820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782048" w:rsidRPr="00782048" w:rsidRDefault="00D4745C" w:rsidP="00782048">
      <w:pPr>
        <w:tabs>
          <w:tab w:val="left" w:pos="1418"/>
        </w:tabs>
        <w:spacing w:after="7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782048" w:rsidRPr="007820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82048" w:rsidRPr="007820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82048" w:rsidRPr="007820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782048" w:rsidRPr="007820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782048" w:rsidRPr="007820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82048" w:rsidRPr="007820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782048" w:rsidRPr="00782048" w:rsidRDefault="00D4745C" w:rsidP="00782048">
      <w:pPr>
        <w:keepNext/>
        <w:tabs>
          <w:tab w:val="left" w:pos="1418"/>
        </w:tabs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USTAVNOM</w:t>
      </w:r>
      <w:r w:rsidR="00782048" w:rsidRPr="0078204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SUDU</w:t>
      </w:r>
      <w:r w:rsidR="00782048" w:rsidRPr="0078204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REPUBLIKE</w:t>
      </w:r>
      <w:r w:rsidR="00782048" w:rsidRPr="0078204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SRBIJE</w:t>
      </w:r>
    </w:p>
    <w:p w:rsidR="00782048" w:rsidRPr="00782048" w:rsidRDefault="00782048" w:rsidP="00782048">
      <w:pPr>
        <w:tabs>
          <w:tab w:val="left" w:pos="1418"/>
        </w:tabs>
        <w:spacing w:after="0" w:line="240" w:lineRule="auto"/>
        <w:ind w:left="5613" w:firstLine="720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820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</w:t>
      </w:r>
      <w:r w:rsidRPr="00782048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</w:t>
      </w:r>
    </w:p>
    <w:p w:rsidR="00782048" w:rsidRPr="00782048" w:rsidRDefault="00D4745C" w:rsidP="00782048">
      <w:pPr>
        <w:tabs>
          <w:tab w:val="left" w:pos="1418"/>
        </w:tabs>
        <w:spacing w:after="360" w:line="240" w:lineRule="auto"/>
        <w:ind w:left="4649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Bulevar</w:t>
      </w:r>
      <w:r w:rsidR="00782048" w:rsidRPr="007820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Kralja</w:t>
      </w:r>
      <w:r w:rsidR="00782048" w:rsidRPr="007820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Aleksandra</w:t>
      </w:r>
      <w:r w:rsidR="00782048" w:rsidRPr="0078204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</w:t>
      </w:r>
    </w:p>
    <w:p w:rsidR="00AF2509" w:rsidRPr="00AF2509" w:rsidRDefault="00D4745C" w:rsidP="00AF250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</w:t>
      </w:r>
      <w:r w:rsidR="00782048" w:rsidRPr="007820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782048" w:rsidRPr="007820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ustavna</w:t>
      </w:r>
      <w:r w:rsidR="00782048" w:rsidRPr="007820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pitanja</w:t>
      </w:r>
      <w:r w:rsidR="00782048" w:rsidRPr="007820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782048" w:rsidRPr="007820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zakonodavstvo</w:t>
      </w:r>
      <w:r w:rsidR="00782048" w:rsidRPr="007820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Narodne</w:t>
      </w:r>
      <w:r w:rsidR="00782048" w:rsidRPr="007820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skupštine</w:t>
      </w:r>
      <w:r w:rsidR="00782048" w:rsidRPr="007820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782048" w:rsidRPr="0078204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782048" w:rsidRPr="0078204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 w:rsidR="00782048" w:rsidRPr="0078204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sednici</w:t>
      </w:r>
      <w:r w:rsidR="00782048" w:rsidRPr="0078204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održanoj</w:t>
      </w:r>
      <w:r w:rsidR="00782048" w:rsidRPr="0078204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AC2561">
        <w:rPr>
          <w:rFonts w:ascii="Times New Roman" w:eastAsia="Calibri" w:hAnsi="Times New Roman" w:cs="Times New Roman"/>
          <w:sz w:val="24"/>
          <w:szCs w:val="24"/>
        </w:rPr>
        <w:t>1</w:t>
      </w:r>
      <w:r w:rsidR="00AC2561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="0078204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oktobra</w:t>
      </w:r>
      <w:r w:rsidR="004860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4860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4860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vezi</w:t>
      </w:r>
      <w:r w:rsidR="004860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sa</w:t>
      </w:r>
      <w:r w:rsidR="00782048" w:rsidRPr="0078204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rešenjem</w:t>
      </w:r>
      <w:r w:rsidR="00782048" w:rsidRPr="0078204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Ustavnog</w:t>
      </w:r>
      <w:r w:rsidR="00782048" w:rsidRPr="0078204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suda</w:t>
      </w:r>
      <w:r w:rsidR="00782048" w:rsidRPr="0078204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782048" w:rsidRPr="0078204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82048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Uz</w:t>
      </w:r>
      <w:r w:rsidR="0078204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- 106/2019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</w:t>
      </w:r>
      <w:r w:rsidR="007820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5</w:t>
      </w:r>
      <w:r w:rsidR="00782048" w:rsidRPr="00782048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r w:rsidR="007820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juna</w:t>
      </w:r>
      <w:r w:rsidR="00782048" w:rsidRPr="007820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2023.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godine</w:t>
      </w:r>
      <w:r w:rsidR="00782048" w:rsidRPr="007820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povodom</w:t>
      </w:r>
      <w:r w:rsidR="007820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postupka</w:t>
      </w:r>
      <w:r w:rsidR="007820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za</w:t>
      </w:r>
      <w:r w:rsidR="007820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utvrđivanje</w:t>
      </w:r>
      <w:r w:rsidR="007820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neustavnosti</w:t>
      </w:r>
      <w:r w:rsidR="007820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odredaba</w:t>
      </w:r>
      <w:r w:rsidR="007820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člana</w:t>
      </w:r>
      <w:r w:rsidR="007820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210.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stav</w:t>
      </w:r>
      <w:r w:rsidR="007820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1.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tač</w:t>
      </w:r>
      <w:r w:rsidR="007820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 2)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i</w:t>
      </w:r>
      <w:r w:rsidR="0078204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3)</w:t>
      </w:r>
      <w:r w:rsidR="00782048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i</w:t>
      </w:r>
      <w:r w:rsidR="00782048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stav</w:t>
      </w:r>
      <w:r w:rsidR="00782048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3), </w:t>
      </w: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člana</w:t>
      </w:r>
      <w:r w:rsidR="00782048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2012. </w:t>
      </w: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stav</w:t>
      </w:r>
      <w:r w:rsidR="00782048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1. </w:t>
      </w: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u</w:t>
      </w:r>
      <w:r w:rsidR="00782048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delu</w:t>
      </w:r>
      <w:r w:rsidR="00782048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koji</w:t>
      </w:r>
      <w:r w:rsidR="00782048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glasi</w:t>
      </w:r>
      <w:r w:rsidR="00782048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delu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glasi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>: ,,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3)ˮ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stava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213.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zdravstvenoj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(,,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</w:t>
      </w:r>
      <w:r w:rsid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glasnik</w:t>
      </w:r>
      <w:r w:rsid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ˮ,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25/19)</w:t>
      </w:r>
    </w:p>
    <w:p w:rsidR="00782048" w:rsidRDefault="00D4745C" w:rsidP="00782048">
      <w:pPr>
        <w:spacing w:after="24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odlučio</w:t>
      </w:r>
      <w:r w:rsidR="00782048" w:rsidRPr="0078204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782048" w:rsidRPr="0078204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da</w:t>
      </w:r>
      <w:r w:rsidR="00DE4A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dostavi</w:t>
      </w:r>
      <w:r w:rsidR="00DE4A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Ustavnom</w:t>
      </w:r>
      <w:r w:rsidR="00DE4A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sudu</w:t>
      </w:r>
      <w:r w:rsidR="00DE4AC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DE4AC1" w:rsidRPr="00782048" w:rsidRDefault="00D4745C" w:rsidP="00DE4AC1">
      <w:pPr>
        <w:spacing w:after="240" w:line="240" w:lineRule="auto"/>
        <w:ind w:firstLine="720"/>
        <w:jc w:val="center"/>
        <w:rPr>
          <w:rFonts w:ascii="Times New Roman" w:eastAsia="Calibri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ODGOVOR</w:t>
      </w:r>
    </w:p>
    <w:p w:rsidR="00AF2509" w:rsidRPr="00AF2509" w:rsidRDefault="00782048" w:rsidP="00AF250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78204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ab/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Ustavni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sud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Rešenje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Latn-RS"/>
        </w:rPr>
        <w:t>I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-106/2019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pokretanju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utvrđivanje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neustavnosti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odredaba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210.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tač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2)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3)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stava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212.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delu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glasi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>: ,,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3)ˮ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213.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1.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zdravstvenoj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(,,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glasnik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ˮ,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25/19 –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daljem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tekstu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="00AF2509"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</w:p>
    <w:p w:rsidR="00AF2509" w:rsidRPr="00AF2509" w:rsidRDefault="00AF2509" w:rsidP="00AF250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Ustavnom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sudu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podneta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pokretanje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ocenu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ustavnosti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odredaba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206.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210.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tač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2)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3)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AF2509" w:rsidRPr="00AF2509" w:rsidRDefault="00AF2509" w:rsidP="00AF250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Inicijativu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pokretanje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ocenu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ustavnosti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odredaba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206.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Ustavni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sud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odbacio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neosnovanu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izreke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Rešenja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>).</w:t>
      </w:r>
    </w:p>
    <w:p w:rsidR="00AF2509" w:rsidRPr="00AF2509" w:rsidRDefault="00AF2509" w:rsidP="00AF250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Ustavni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sud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ceneći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osporene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210.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tač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2)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3)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pravno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logički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neposredno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povezane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212.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delu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glasi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>: „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3)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”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213.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st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1.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tog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zakona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osnovu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člana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53.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stav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Zakona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Ustavnom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sudu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ocenio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ima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osnova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pokretanje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postupka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utvrđivanje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neustavnosti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navedenih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ru-RU"/>
        </w:rPr>
        <w:t>odredaba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F2509" w:rsidRPr="00AF2509" w:rsidRDefault="00AF2509" w:rsidP="00AF250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odnosu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210.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tač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2)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3)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212.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delu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glasi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>: ,,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3)ˮ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213.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1.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odredbama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Ustava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kojima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ljudsko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dostojanstvo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neprikosnoveno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dužni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ga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poštuju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štite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niko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izložen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mučenju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nečovečnom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ponižavajućem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kažnjavanju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podvrgnut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medicinskim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naučnim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ogledima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svog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slobodno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datog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pristanka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Ustava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štite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štite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posle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smrti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budu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ogleda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imaju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pravo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izjasne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pristanku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vršenje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obdukcije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smrti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preuzimanje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umrlog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struke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izvođenje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praktične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date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izjave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umrlog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zaveštanju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overene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kod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AF2509" w:rsidRPr="00AF2509" w:rsidRDefault="00AF2509" w:rsidP="00AF250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3.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aprila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donela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zdravstvenoj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(,,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glasnik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ˮ,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25/19),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stupio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snagu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osmog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objavljivanja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,,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glasniku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>ˮ (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115.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2)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primenjuje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istekom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36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meseci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stupanja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snagu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F2509" w:rsidRPr="00AF2509" w:rsidRDefault="00AF2509" w:rsidP="00AF250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Osporenim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odredbama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struke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preuzimati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organe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tkiva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umrlih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identifikovanih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izvođenja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umrlom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licu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samo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izričito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pismenom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obliku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protivilo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umrlo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lice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izričito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pismenom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obliku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protivilo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210.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tač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2)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3).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smislu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podrazumevaju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supružnici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vanbračni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deca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rođena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braku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van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braka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usvojitelji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usvojenici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staratelji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štićenici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hranitelji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hranjenici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roditelji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krvni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srodnici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pravoj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liniji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obzira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stepen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srodstva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krvni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srodnici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pobočnoj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liniji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trećim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stepenom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srodstva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210.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tač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2)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3)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3).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struke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neposredno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preuzeti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umrlog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identifikovanog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pribavljenom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nadležnog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organa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212.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1.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2).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struke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umrlog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koristi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praktičnoj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šest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meseci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preuzimanja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umrlog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koga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znalo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trenutku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smrti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roku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šest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meseci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preuzimanja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struke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pismeni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zahtev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struke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povraćaj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umrlog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dužan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umrlog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vrati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F2509" w:rsidRPr="00AF2509" w:rsidRDefault="00AF2509" w:rsidP="00AF250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Sporno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postavlja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Ustavni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sud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jeste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izričito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kojih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ovlašćenja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proverava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utvrđuje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postojanje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pismene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izjave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napominjemo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dobijanju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obaveštenj</w:t>
      </w:r>
      <w:r w:rsidRPr="00AF2509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</w:t>
      </w:r>
      <w:r w:rsidRPr="00AF250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F250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AF2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organ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dužan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obavesti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struke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umrlom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identifikovanom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licu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čije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koristiti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obavljanju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praktične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uslovima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propisanim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ovim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organ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lokalne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samouprave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obaveštava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prikuplja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podatke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identitetu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umrlog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izdaje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relevantna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mora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službenoj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dužnosti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proveravati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postoje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druga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relevantna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ovom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eksplicitno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protivljenje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sastavljeno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pismenoj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formi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F2509" w:rsidRPr="00AF2509" w:rsidRDefault="00AF2509" w:rsidP="00AF250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Napominjemo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ljudskih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dostojanstva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ljudskih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bića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pogledu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primene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biologije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ljudskim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pravima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biomedicini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(,,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glasnik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Međunarodni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ugovori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ˮ,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12/10)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zabranjeno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ostvarivati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novčanu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dobit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raspolaganje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delom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ljudskog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ljudsko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njegovi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delovi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smeju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takvi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izvor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novčane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dobiti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Napominjemo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delu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potpunosti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saglasan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odredbama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konvencije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AF2509" w:rsidRPr="00AF2509" w:rsidRDefault="00AF2509" w:rsidP="00AF250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potpuno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sistemski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uređena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oblast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preuzimanja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umrlih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izvođenja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praktične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obezbeđeni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uslovi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postizanje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standarda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ljudskog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preminulog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uslovi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organizacije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sistema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cilju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obezbeđivanja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visokog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nivoa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umrlog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koristi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naučne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svrhe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uvažavanja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prioritetnih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interesa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očuvanje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osnovnih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ljudskih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dostojanstva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umrlog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F2509" w:rsidRPr="00AF2509" w:rsidRDefault="00AF2509" w:rsidP="00AF250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tiče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dileme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Ustavnog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suda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tome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pitaju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naslednici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tj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traži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pristanak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svih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naslednika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umrlog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ističemo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210.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pod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smislu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ovog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podrazumevaju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supružnici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vanbračni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partneri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deca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rođena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braku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van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braka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usvojitelji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usvojenici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staratelji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štićenici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hranitelji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hranjenici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roditelji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drugi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krvni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srodnici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pravoj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liniji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obzira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stepen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srodstva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krvni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srodnici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trećim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stepenom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srodstva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Dakle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prvo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traži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pristanak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srodnika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naslednom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nema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srodnika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prvom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naslednom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pristanak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ostalih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srodnika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nasleđivanju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skladu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zakonskim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redom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nasleđivanja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predviđenim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nasleđivanju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F2509" w:rsidRPr="00AF2509" w:rsidRDefault="00AF2509" w:rsidP="00AF250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Napominjemo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zemalja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Evropske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unije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kadavera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donira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naučne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svrhe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post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mortem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testamenta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prethodne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saglasnosti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nekim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zemljama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Španija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Italija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Francuska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doniranje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naučne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svrhe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obaveza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znači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automatski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smatraju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donorima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osim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ako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izričito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izjasne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drugim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zemljama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Nemačka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Austrija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doniranje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dobrovoljna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odluka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prijaviti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doniranje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F2509" w:rsidRPr="00AF2509" w:rsidRDefault="00AF2509" w:rsidP="00AF250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doniranje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naučne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svrhe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dobrovoljna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odluka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prijaviti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doniranje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nacionalnom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registru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izraze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svoju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želju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porodici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ili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prijateljima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Verovatno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skoro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sigurnošću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tvrditi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onaj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života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izričito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protivio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smrti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koristi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izvođenje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praktične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taj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imao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ništa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toga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AF2509" w:rsidRPr="00AF2509" w:rsidRDefault="00AF2509" w:rsidP="00AF250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Navedenim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odredbama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struke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mogu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preuzimati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organe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tkiva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umrlih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izvođenja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praktične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jasno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definisan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umrlog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vodi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nadzor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etičkog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obzirom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potvrdu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opravdanosti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primene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odredaba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govore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činjenice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vezane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proces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edukaciju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studenata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poslediplomaca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F2509" w:rsidRPr="00AF2509" w:rsidRDefault="00AF2509" w:rsidP="00AF250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Suštinski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procesu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odvija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struke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Praktična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Anatomija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odvija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kadaverima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osnivanja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Instituta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anatomiju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danas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preduslov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adekvatne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edukacije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obrazovanja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studenata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budućih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F2509" w:rsidRPr="00AF2509" w:rsidRDefault="00AF2509" w:rsidP="00AF250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Naime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jedini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upoznaju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realnim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anatomskim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strukturama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praktične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kadaverima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F2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Praktični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deo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ispita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Anatomija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polaže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kadaverima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F2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Adekvatno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poznavanje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realne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anatomije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čoveka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preduslov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savladavanja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gradiva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kasnije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obrađuju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toku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studiranja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patološka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anatomija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fiziologija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patološka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fiziologija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ali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svi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klinički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predmeti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Ovo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posebno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studente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nastavljaju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svoje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usavršavanje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nekoj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hirurških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grana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gde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neophodno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besprekorno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poznavanje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anatomije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Poznavanjem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anatomije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postiže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visoka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pacijenata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operacionom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stolu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najviši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cilj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F2509" w:rsidRPr="00AF2509" w:rsidRDefault="00AF2509" w:rsidP="00AF250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Napominjemo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kadaverima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izvode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kontinuirane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edukacije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veoma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edukaciji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mladih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lekara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specijalizaciji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podižu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nivo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znanja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učesnika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anatomsku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orjentaciju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poznavanje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anatomskih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struktura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što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zajedno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donosi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preciznijem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kvalitetnijem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operativnom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radu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F2509" w:rsidRPr="00AF2509" w:rsidRDefault="00AF2509" w:rsidP="00AF250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Ukoliko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praktičan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kadaverima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nekog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dovede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dobićemo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lekare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bez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praktičnog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znanja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anatomije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čoveka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teoretskim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znanjem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neće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biti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dovoljno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razumevaanje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celini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lekarima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će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prvi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put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susresti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realnom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ljudskom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anatomijom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prilikom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prvih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operacija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lekari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hirurških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grana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neizvesnim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ishodom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F2509" w:rsidRPr="00AF2509" w:rsidRDefault="00AF2509" w:rsidP="00AF250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Dovođenje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pitanje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način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ovih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zakonskih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odredaba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procedura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preuzimanjem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umrlog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njegovog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korišćenja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naučne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svrhe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nesumnjivo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vodi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urušavanju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obrazovnog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procesa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medicinskim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fakultetima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može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imati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dalekosežne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nesagledive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posledice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bezbednost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zdravlje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građana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F2509" w:rsidRPr="00AF2509" w:rsidRDefault="00AF2509" w:rsidP="00AF250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Imajući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vidu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izneto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značaj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preuzimanja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umrlih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izvođenja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činjenicu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odluku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preuzimanju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struke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donosi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etički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struke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dužan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nadzire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sprovođenje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postuka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predviđenog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podrazumeva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struke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dužan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čuva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profesionalnu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tajnu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sve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podatke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odnose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lice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čiji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organi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delovi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uzeti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smislu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ime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prezime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datum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rođenja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mesto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datum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smrti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uzrok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smrti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medicicinske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dokumentacije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.).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struke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umrlog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posle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procesa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praktične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anatomije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sahranjuje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sopstvenom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trošku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takođe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dužan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granicama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svojih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poštuje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posebne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želje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zaveštaoca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sahranom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kremacijom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verskom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ceremonijom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druge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jasno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iskazane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želje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zaveštaoca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vezi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postupanjem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njegovim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radi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izvođenja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praktične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nastave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anatomije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Svako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postupanje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umrlog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naučne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svrhe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strane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fakulteta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struke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podrazumeva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krajnje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profesionalan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nadasve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human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odnos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puno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poštovanja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humanosti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prema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telu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umrlog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lica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AF2509" w:rsidRPr="00AF2509" w:rsidRDefault="00AF2509" w:rsidP="00AF250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navedenog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mišljenja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210.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tač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2)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3)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212.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delu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glasi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>: ,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3)ˮ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213.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1.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zdravstvenoj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zaštiti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(,,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Službeni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glasnik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RS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ˮ,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25/19)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svemu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Ustavom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čemu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ne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povređuju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ljudska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prava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propisana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odredbama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23.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 w:rsidR="00D4745C">
        <w:rPr>
          <w:rFonts w:ascii="Times New Roman" w:eastAsia="Times New Roman" w:hAnsi="Times New Roman" w:cs="Times New Roman"/>
          <w:sz w:val="24"/>
          <w:szCs w:val="24"/>
          <w:lang w:val="sr-Cyrl-RS"/>
        </w:rPr>
        <w:t>Ustava</w:t>
      </w:r>
      <w:r w:rsidRPr="00AF250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782048" w:rsidRPr="00782048" w:rsidRDefault="00782048" w:rsidP="00AF2509">
      <w:pPr>
        <w:tabs>
          <w:tab w:val="left" w:pos="1418"/>
        </w:tabs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tbl>
      <w:tblPr>
        <w:tblW w:w="8720" w:type="dxa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782048" w:rsidRPr="00782048" w:rsidTr="00C92CA7">
        <w:tc>
          <w:tcPr>
            <w:tcW w:w="4360" w:type="dxa"/>
          </w:tcPr>
          <w:p w:rsidR="00782048" w:rsidRPr="00782048" w:rsidRDefault="00782048" w:rsidP="00782048">
            <w:pPr>
              <w:tabs>
                <w:tab w:val="left" w:pos="14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60" w:type="dxa"/>
          </w:tcPr>
          <w:p w:rsidR="00782048" w:rsidRPr="00782048" w:rsidRDefault="00782048" w:rsidP="00782048">
            <w:pPr>
              <w:tabs>
                <w:tab w:val="left" w:pos="141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82048" w:rsidRPr="00782048" w:rsidRDefault="00782048" w:rsidP="00782048">
            <w:pPr>
              <w:tabs>
                <w:tab w:val="left" w:pos="1418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8204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    </w:t>
            </w:r>
            <w:r w:rsidR="00D4745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PREDSEDNIK</w:t>
            </w:r>
          </w:p>
          <w:p w:rsidR="00782048" w:rsidRPr="00782048" w:rsidRDefault="00782048" w:rsidP="00782048">
            <w:pPr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8204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ab/>
              <w:t xml:space="preserve"> </w:t>
            </w:r>
            <w:r w:rsidR="00D4745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Jelena</w:t>
            </w:r>
            <w:r w:rsidRPr="0078204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4745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Žarić</w:t>
            </w:r>
            <w:r w:rsidRPr="0078204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D4745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Kovačević</w:t>
            </w:r>
          </w:p>
          <w:p w:rsidR="00782048" w:rsidRPr="00782048" w:rsidRDefault="00782048" w:rsidP="00782048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82048" w:rsidRPr="00782048" w:rsidRDefault="00782048" w:rsidP="00782048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82048" w:rsidRPr="00782048" w:rsidRDefault="00782048" w:rsidP="00782048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0969" w:rsidRDefault="006D0969"/>
    <w:sectPr w:rsidR="006D0969" w:rsidSect="008273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797" w:bottom="1440" w:left="179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62" w:rsidRDefault="00D24962">
      <w:pPr>
        <w:spacing w:after="0" w:line="240" w:lineRule="auto"/>
      </w:pPr>
      <w:r>
        <w:separator/>
      </w:r>
    </w:p>
  </w:endnote>
  <w:endnote w:type="continuationSeparator" w:id="0">
    <w:p w:rsidR="00D24962" w:rsidRDefault="00D2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5C" w:rsidRDefault="00D474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5C" w:rsidRDefault="00D474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5C" w:rsidRDefault="00D474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62" w:rsidRDefault="00D24962">
      <w:pPr>
        <w:spacing w:after="0" w:line="240" w:lineRule="auto"/>
      </w:pPr>
      <w:r>
        <w:separator/>
      </w:r>
    </w:p>
  </w:footnote>
  <w:footnote w:type="continuationSeparator" w:id="0">
    <w:p w:rsidR="00D24962" w:rsidRDefault="00D2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5C" w:rsidRDefault="00D474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97095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273EE" w:rsidRDefault="00AF250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4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73EE" w:rsidRDefault="00D249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45C" w:rsidRDefault="00D47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48"/>
    <w:rsid w:val="0048604E"/>
    <w:rsid w:val="005D0C26"/>
    <w:rsid w:val="006D0969"/>
    <w:rsid w:val="00782048"/>
    <w:rsid w:val="00AC2561"/>
    <w:rsid w:val="00AF2509"/>
    <w:rsid w:val="00B35DF1"/>
    <w:rsid w:val="00D24962"/>
    <w:rsid w:val="00D4745C"/>
    <w:rsid w:val="00DE4AC1"/>
    <w:rsid w:val="00F4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2048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820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82048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820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7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1808</Words>
  <Characters>10309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dcterms:created xsi:type="dcterms:W3CDTF">2023-11-01T13:22:00Z</dcterms:created>
  <dcterms:modified xsi:type="dcterms:W3CDTF">2023-11-01T13:22:00Z</dcterms:modified>
</cp:coreProperties>
</file>